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12E77">
      <w:pPr>
        <w:spacing w:line="360" w:lineRule="auto"/>
        <w:jc w:val="center"/>
        <w:rPr>
          <w:rFonts w:ascii="宋体" w:hAnsi="宋体"/>
          <w:b/>
          <w:spacing w:val="20"/>
          <w:sz w:val="30"/>
          <w:szCs w:val="30"/>
        </w:rPr>
      </w:pPr>
      <w:bookmarkStart w:id="0" w:name="_GoBack"/>
      <w:bookmarkEnd w:id="0"/>
      <w:r>
        <w:rPr>
          <w:rFonts w:hint="eastAsia" w:ascii="宋体" w:cs="宋体"/>
          <w:snapToGrid w:val="0"/>
          <w:sz w:val="30"/>
          <w:szCs w:val="30"/>
        </w:rPr>
        <w:t>胰岛素泵、多功能电动产床采购项目评分标准</w:t>
      </w:r>
    </w:p>
    <w:p w14:paraId="343BC32E">
      <w:pPr>
        <w:pStyle w:val="3"/>
        <w:spacing w:before="3"/>
        <w:rPr>
          <w:rFonts w:ascii="楷体"/>
          <w:sz w:val="23"/>
        </w:rPr>
      </w:pPr>
    </w:p>
    <w:tbl>
      <w:tblPr>
        <w:tblStyle w:val="12"/>
        <w:tblW w:w="0" w:type="auto"/>
        <w:tblInd w:w="3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918"/>
        <w:gridCol w:w="1773"/>
        <w:gridCol w:w="4867"/>
      </w:tblGrid>
      <w:tr w14:paraId="504A8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878" w:type="dxa"/>
            <w:gridSpan w:val="2"/>
          </w:tcPr>
          <w:p w14:paraId="73BB85D0">
            <w:pPr>
              <w:pStyle w:val="13"/>
              <w:spacing w:line="308" w:lineRule="exact"/>
              <w:ind w:left="1004" w:right="990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评分项目</w:t>
            </w:r>
          </w:p>
        </w:tc>
        <w:tc>
          <w:tcPr>
            <w:tcW w:w="1773" w:type="dxa"/>
          </w:tcPr>
          <w:p w14:paraId="7C096F0D">
            <w:pPr>
              <w:pStyle w:val="13"/>
              <w:spacing w:line="308" w:lineRule="exact"/>
              <w:ind w:left="661" w:right="6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分数</w:t>
            </w:r>
          </w:p>
        </w:tc>
        <w:tc>
          <w:tcPr>
            <w:tcW w:w="4867" w:type="dxa"/>
          </w:tcPr>
          <w:p w14:paraId="10F6348B">
            <w:pPr>
              <w:pStyle w:val="13"/>
              <w:spacing w:line="308" w:lineRule="exact"/>
              <w:ind w:left="16" w:right="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评分标准</w:t>
            </w:r>
          </w:p>
        </w:tc>
      </w:tr>
      <w:tr w14:paraId="2D0F8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960" w:type="dxa"/>
          </w:tcPr>
          <w:p w14:paraId="55D75631">
            <w:pPr>
              <w:pStyle w:val="13"/>
              <w:spacing w:before="31" w:line="360" w:lineRule="auto"/>
              <w:ind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41127C14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价格部分</w:t>
            </w:r>
          </w:p>
          <w:p w14:paraId="7D2EE2C7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分）</w:t>
            </w:r>
          </w:p>
          <w:p w14:paraId="0ABEF27E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</w:tcPr>
          <w:p w14:paraId="5A698B89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1E1AF6B7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投标报价</w:t>
            </w:r>
          </w:p>
        </w:tc>
        <w:tc>
          <w:tcPr>
            <w:tcW w:w="1773" w:type="dxa"/>
          </w:tcPr>
          <w:p w14:paraId="0B778C32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044A191C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4867" w:type="dxa"/>
          </w:tcPr>
          <w:p w14:paraId="29B1EA77">
            <w:pPr>
              <w:pStyle w:val="13"/>
              <w:spacing w:before="31" w:line="360" w:lineRule="auto"/>
              <w:ind w:left="13" w:right="-15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评标基准价 C=所有有效标书投标报价(或最终价格)中的最低投标报价。报价得分 = 评标基准价÷</w:t>
            </w:r>
          </w:p>
          <w:p w14:paraId="297C9FEA">
            <w:pPr>
              <w:pStyle w:val="13"/>
              <w:spacing w:before="31" w:line="360" w:lineRule="auto"/>
              <w:ind w:left="13" w:right="-15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（投标报价或者最终价格）× 满分</w:t>
            </w:r>
          </w:p>
        </w:tc>
      </w:tr>
      <w:tr w14:paraId="268DE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960" w:type="dxa"/>
            <w:vMerge w:val="restart"/>
            <w:tcBorders>
              <w:top w:val="nil"/>
            </w:tcBorders>
          </w:tcPr>
          <w:p w14:paraId="48E7250B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66850284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17BE74E5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00974119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45A90FA2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01C9927F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2D05CC82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商务部分</w:t>
            </w:r>
          </w:p>
          <w:p w14:paraId="52835DD0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1918" w:type="dxa"/>
          </w:tcPr>
          <w:p w14:paraId="14B2C317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28F30A9F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0EEB3142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投标人业绩</w:t>
            </w:r>
          </w:p>
        </w:tc>
        <w:tc>
          <w:tcPr>
            <w:tcW w:w="1773" w:type="dxa"/>
          </w:tcPr>
          <w:p w14:paraId="6FCD6CFE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36DB3912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1329377E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67" w:type="dxa"/>
          </w:tcPr>
          <w:p w14:paraId="2F4288FC">
            <w:pPr>
              <w:pStyle w:val="13"/>
              <w:spacing w:before="31" w:line="360" w:lineRule="auto"/>
              <w:ind w:left="13" w:right="-15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投标人自 2023 年1月1日至今已签订合同的同类项目业绩(同类项目系指至少需包含本次采购范围内核心产品之一)得1分，最多得5分。注：须提供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清晰的含销售价格的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中标通知书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合同的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复印件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，未提供或提供不全的不得分。</w:t>
            </w:r>
          </w:p>
        </w:tc>
      </w:tr>
      <w:tr w14:paraId="79687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960" w:type="dxa"/>
            <w:vMerge w:val="continue"/>
          </w:tcPr>
          <w:p w14:paraId="2CA8EFBB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</w:tcPr>
          <w:p w14:paraId="6801A92E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22C43828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5CAB2654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售后服务方案</w:t>
            </w:r>
          </w:p>
        </w:tc>
        <w:tc>
          <w:tcPr>
            <w:tcW w:w="1773" w:type="dxa"/>
          </w:tcPr>
          <w:p w14:paraId="2CEA4F84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33F93D1E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7BAA6A48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67" w:type="dxa"/>
          </w:tcPr>
          <w:p w14:paraId="53BC49CF">
            <w:pPr>
              <w:pStyle w:val="13"/>
              <w:spacing w:before="31" w:line="360" w:lineRule="auto"/>
              <w:ind w:left="13" w:right="-15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根据投标人提供的维保方案内容进行评价：维保方案具体且根据实际情况定期检测具有针对性的，得5分；方案清晰得当、有相关内容的得3分，方案不全面或有瑕疵，针对性不强的得2分。未提供的不得分。</w:t>
            </w:r>
          </w:p>
        </w:tc>
      </w:tr>
      <w:tr w14:paraId="7B03E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960" w:type="dxa"/>
            <w:vMerge w:val="continue"/>
          </w:tcPr>
          <w:p w14:paraId="38593CB2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tcBorders>
              <w:bottom w:val="single" w:color="auto" w:sz="4" w:space="0"/>
            </w:tcBorders>
          </w:tcPr>
          <w:p w14:paraId="527A5C65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3B375F77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安装调试方案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</w:t>
            </w:r>
          </w:p>
          <w:p w14:paraId="56562ABA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培训及技术支持</w:t>
            </w:r>
          </w:p>
        </w:tc>
        <w:tc>
          <w:tcPr>
            <w:tcW w:w="1773" w:type="dxa"/>
          </w:tcPr>
          <w:p w14:paraId="42B1FAE3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40F29DB9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36999215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67" w:type="dxa"/>
          </w:tcPr>
          <w:p w14:paraId="3C85FB3B">
            <w:pPr>
              <w:pStyle w:val="13"/>
              <w:spacing w:before="31" w:line="360" w:lineRule="auto"/>
              <w:ind w:left="13" w:right="-15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根据投标人提供的针对本项目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安装调试及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培训方案内容及技术支持等情况进行评价：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安装调试与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培训方案具体且根据实际情况具有针对性，能够保证操作人员熟练使用的得5分；培训方案清晰得当、有技术支持内容的得3分，培训方案不全面或有瑕疵，针对性不强的得2分。未提供的不得分。</w:t>
            </w:r>
          </w:p>
        </w:tc>
      </w:tr>
      <w:tr w14:paraId="48F50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960" w:type="dxa"/>
            <w:vMerge w:val="continue"/>
            <w:tcBorders>
              <w:bottom w:val="single" w:color="auto" w:sz="4" w:space="0"/>
            </w:tcBorders>
          </w:tcPr>
          <w:p w14:paraId="6054FCDD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5A47E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3734596E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6E579AC3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31D927D2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质量保证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方案</w:t>
            </w:r>
          </w:p>
          <w:p w14:paraId="72D97C3A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1C7FAE37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  <w:tcBorders>
              <w:left w:val="single" w:color="auto" w:sz="4" w:space="0"/>
            </w:tcBorders>
          </w:tcPr>
          <w:p w14:paraId="694B323E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04D3728F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3EDE78FE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77D48615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67" w:type="dxa"/>
          </w:tcPr>
          <w:p w14:paraId="2F28BD5B">
            <w:pPr>
              <w:pStyle w:val="13"/>
              <w:spacing w:before="31" w:line="360" w:lineRule="auto"/>
              <w:ind w:left="13" w:right="-15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根据所投产品质量保证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进行评价，投标人所投产品质量稳定、安全性高、具有完善的质保承诺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的得5分；所投产品质量可靠，具有安全性、质保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可行得3分，所投产品质量不稳定，安全性有隐患，质保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不全面，得2分。本项内容未提供不得分。</w:t>
            </w:r>
          </w:p>
        </w:tc>
      </w:tr>
    </w:tbl>
    <w:p w14:paraId="7BB0E8C8">
      <w:pPr>
        <w:pStyle w:val="13"/>
        <w:spacing w:before="31" w:line="360" w:lineRule="auto"/>
        <w:ind w:left="13" w:right="-15"/>
        <w:jc w:val="both"/>
        <w:rPr>
          <w:rFonts w:ascii="宋体" w:hAnsi="宋体" w:eastAsia="宋体"/>
          <w:sz w:val="21"/>
          <w:szCs w:val="21"/>
          <w:lang w:eastAsia="zh-CN"/>
        </w:rPr>
      </w:pPr>
    </w:p>
    <w:p w14:paraId="4CDF33D2">
      <w:pPr>
        <w:pStyle w:val="13"/>
        <w:spacing w:before="31" w:line="360" w:lineRule="auto"/>
        <w:ind w:left="13" w:right="-15"/>
        <w:jc w:val="both"/>
        <w:rPr>
          <w:rFonts w:ascii="宋体" w:hAnsi="宋体" w:eastAsia="宋体"/>
          <w:sz w:val="21"/>
          <w:szCs w:val="21"/>
          <w:lang w:eastAsia="zh-CN"/>
        </w:rPr>
      </w:pPr>
    </w:p>
    <w:p w14:paraId="29D3E02C">
      <w:pPr>
        <w:pStyle w:val="13"/>
        <w:spacing w:before="31" w:line="360" w:lineRule="auto"/>
        <w:ind w:left="13" w:right="-15"/>
        <w:jc w:val="both"/>
        <w:rPr>
          <w:rFonts w:ascii="宋体" w:hAnsi="宋体" w:eastAsia="宋体"/>
          <w:sz w:val="21"/>
          <w:szCs w:val="21"/>
          <w:lang w:eastAsia="zh-CN"/>
        </w:rPr>
      </w:pPr>
    </w:p>
    <w:p w14:paraId="404BCC81">
      <w:pPr>
        <w:pStyle w:val="13"/>
        <w:spacing w:before="31" w:line="360" w:lineRule="auto"/>
        <w:ind w:left="13" w:right="-15"/>
        <w:jc w:val="both"/>
        <w:rPr>
          <w:rFonts w:ascii="宋体" w:hAnsi="宋体" w:eastAsia="宋体"/>
          <w:sz w:val="21"/>
          <w:szCs w:val="21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10" w:h="16840"/>
          <w:pgMar w:top="1440" w:right="780" w:bottom="1180" w:left="1020" w:header="0" w:footer="997" w:gutter="0"/>
          <w:cols w:space="720" w:num="1"/>
        </w:sectPr>
      </w:pPr>
    </w:p>
    <w:tbl>
      <w:tblPr>
        <w:tblStyle w:val="12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78"/>
        <w:gridCol w:w="877"/>
        <w:gridCol w:w="1621"/>
        <w:gridCol w:w="4065"/>
      </w:tblGrid>
      <w:tr w14:paraId="48CA5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4682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612AB44E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3E53EE53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34EAC5C3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2DB19AFD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1193AAE3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690F8B2C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145B067B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03145AF4">
            <w:pPr>
              <w:pStyle w:val="13"/>
              <w:spacing w:before="31" w:line="360" w:lineRule="auto"/>
              <w:ind w:left="210" w:right="-15" w:hanging="210" w:hangingChars="10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技术部分(50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1F3F2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63285252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1CEB089B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7FB5DC99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7EDCE5EB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7B6D70D0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响应情况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DD2ED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4BE18F36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基本分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FDE8A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58491864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2444" w:type="pct"/>
            <w:tcBorders>
              <w:left w:val="single" w:color="auto" w:sz="4" w:space="0"/>
            </w:tcBorders>
          </w:tcPr>
          <w:p w14:paraId="0739A061">
            <w:pPr>
              <w:pStyle w:val="13"/>
              <w:spacing w:before="31" w:line="360" w:lineRule="auto"/>
              <w:ind w:left="13" w:right="-15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全部满足实质性条款要求的得30分，★参数条款有1项不满足的，为无效投标。</w:t>
            </w:r>
          </w:p>
        </w:tc>
      </w:tr>
      <w:tr w14:paraId="02C36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5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6F12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5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FBBB6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1B78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1757A915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18FE3FFB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负偏离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403F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4B529657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3A5E5F59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444" w:type="pct"/>
            <w:tcBorders>
              <w:left w:val="single" w:color="auto" w:sz="4" w:space="0"/>
            </w:tcBorders>
          </w:tcPr>
          <w:p w14:paraId="517CA7B5">
            <w:pPr>
              <w:pStyle w:val="13"/>
              <w:spacing w:before="31" w:line="360" w:lineRule="auto"/>
              <w:ind w:left="13" w:right="-15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每出现1 条负偏离扣除基本分2分，负偏离5条及以上的，基本分为0分。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要求：以上技术参数需要提供可公开获取的佐证材料（如产品说明书、官网截图、医疗器械注册证等）。</w:t>
            </w:r>
          </w:p>
          <w:p w14:paraId="363AA472">
            <w:pPr>
              <w:pStyle w:val="13"/>
              <w:spacing w:before="31" w:line="360" w:lineRule="auto"/>
              <w:ind w:left="13" w:right="-15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5DCE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528" w:type="pct"/>
            <w:vMerge w:val="continue"/>
            <w:tcBorders>
              <w:top w:val="single" w:color="auto" w:sz="4" w:space="0"/>
            </w:tcBorders>
          </w:tcPr>
          <w:p w14:paraId="1E3F2C70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528" w:type="pct"/>
            <w:vMerge w:val="restart"/>
            <w:tcBorders>
              <w:top w:val="single" w:color="auto" w:sz="4" w:space="0"/>
            </w:tcBorders>
          </w:tcPr>
          <w:p w14:paraId="7898922A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102C3F0F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0C7BE836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08881738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67EF6A47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66CD02B4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产品评价</w:t>
            </w:r>
          </w:p>
        </w:tc>
        <w:tc>
          <w:tcPr>
            <w:tcW w:w="527" w:type="pct"/>
            <w:tcBorders>
              <w:top w:val="single" w:color="auto" w:sz="4" w:space="0"/>
            </w:tcBorders>
          </w:tcPr>
          <w:p w14:paraId="61ED9638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72A8D295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51A3A214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0D8DAE2A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产品性能</w:t>
            </w:r>
          </w:p>
        </w:tc>
        <w:tc>
          <w:tcPr>
            <w:tcW w:w="974" w:type="pct"/>
            <w:tcBorders>
              <w:top w:val="single" w:color="auto" w:sz="4" w:space="0"/>
            </w:tcBorders>
          </w:tcPr>
          <w:p w14:paraId="0F5F2D05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514ECF4A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577325BE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777BDE62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444" w:type="pct"/>
          </w:tcPr>
          <w:p w14:paraId="660F592C">
            <w:pPr>
              <w:pStyle w:val="13"/>
              <w:spacing w:before="31" w:line="360" w:lineRule="auto"/>
              <w:ind w:left="13" w:right="-15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所投产品的性能先进、技术成熟。产品选型配置较高的，得10分;所投产品的性能、技术和产品选型配置符合，满足需求较好的，得8分;所投产品的性能、技术和产品选型配置各方面一般的，得5分。所投产品的性能、技术各方面产品选型配置较差的，得1分。</w:t>
            </w:r>
          </w:p>
        </w:tc>
      </w:tr>
      <w:tr w14:paraId="31E84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28" w:type="pct"/>
            <w:vMerge w:val="continue"/>
            <w:tcBorders>
              <w:top w:val="nil"/>
            </w:tcBorders>
          </w:tcPr>
          <w:p w14:paraId="374A9EB2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528" w:type="pct"/>
            <w:vMerge w:val="continue"/>
            <w:tcBorders>
              <w:top w:val="nil"/>
            </w:tcBorders>
          </w:tcPr>
          <w:p w14:paraId="44B6F1E6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527" w:type="pct"/>
          </w:tcPr>
          <w:p w14:paraId="396AD939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531C4349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7E4E30B7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优势分析</w:t>
            </w:r>
          </w:p>
        </w:tc>
        <w:tc>
          <w:tcPr>
            <w:tcW w:w="974" w:type="pct"/>
          </w:tcPr>
          <w:p w14:paraId="18AFDD96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2DD475C5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4AB6DBD6">
            <w:pPr>
              <w:pStyle w:val="13"/>
              <w:spacing w:before="31" w:line="360" w:lineRule="auto"/>
              <w:ind w:left="13" w:right="-15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444" w:type="pct"/>
          </w:tcPr>
          <w:p w14:paraId="641C6F57">
            <w:pPr>
              <w:pStyle w:val="13"/>
              <w:spacing w:before="31" w:line="360" w:lineRule="auto"/>
              <w:ind w:left="13" w:right="-15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投标人针对本次投标的优势分析，提供合理化建议的自拟陈述，提供内容全面完善的得10分；有遗漏或内容不属于优势分析或合理化建议的得5分，未提供不得分。</w:t>
            </w:r>
          </w:p>
        </w:tc>
      </w:tr>
    </w:tbl>
    <w:p w14:paraId="0BD8D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80A1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549F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3D00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33697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393E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9284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92"/>
    <w:rsid w:val="00097342"/>
    <w:rsid w:val="00157AF1"/>
    <w:rsid w:val="001E310C"/>
    <w:rsid w:val="00202EA6"/>
    <w:rsid w:val="002114D2"/>
    <w:rsid w:val="002F0A5F"/>
    <w:rsid w:val="003D28CC"/>
    <w:rsid w:val="003F4EA5"/>
    <w:rsid w:val="003F72CC"/>
    <w:rsid w:val="004E606B"/>
    <w:rsid w:val="00545F92"/>
    <w:rsid w:val="0061632A"/>
    <w:rsid w:val="00727A30"/>
    <w:rsid w:val="0073050F"/>
    <w:rsid w:val="007F2F6F"/>
    <w:rsid w:val="00822F27"/>
    <w:rsid w:val="008E62BE"/>
    <w:rsid w:val="009679DF"/>
    <w:rsid w:val="009A18E8"/>
    <w:rsid w:val="009B1E1F"/>
    <w:rsid w:val="009E660C"/>
    <w:rsid w:val="00A74806"/>
    <w:rsid w:val="00BE17F2"/>
    <w:rsid w:val="00C163D3"/>
    <w:rsid w:val="00D81571"/>
    <w:rsid w:val="00EC166B"/>
    <w:rsid w:val="00ED7E5A"/>
    <w:rsid w:val="00EE2189"/>
    <w:rsid w:val="3889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4"/>
    <w:semiHidden/>
    <w:unhideWhenUsed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  <w:style w:type="table" w:customStyle="1" w:styleId="12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eastAsia="en-US"/>
    </w:rPr>
  </w:style>
  <w:style w:type="character" w:customStyle="1" w:styleId="14">
    <w:name w:val="正文文本缩进 2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935</Characters>
  <Lines>7</Lines>
  <Paragraphs>2</Paragraphs>
  <TotalTime>37</TotalTime>
  <ScaleCrop>false</ScaleCrop>
  <LinksUpToDate>false</LinksUpToDate>
  <CharactersWithSpaces>943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2024-10-23T06:54:00Z</dcterms:created>
  <dc:creator>shebeike</dc:creator>
  <cp:lastModifiedBy>李光召</cp:lastModifiedBy>
  <dcterms:modified xsi:type="dcterms:W3CDTF">2026-01-04T09:45:46Z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eyJoZGlkIjoiY2IwNTU3YjFlYjFhMWVmMmZlMGM2NWY1ZjRlYmMzNGYiLCJ1c2VySWQiOiI1NTE4ODc5MDUifQ==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FF8BC5F911C544F1A0BCE6B182FE708E_12</vt:lpwstr>
  </property>
</Properties>
</file>